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367" w:rsidRPr="007E5AEF" w:rsidRDefault="00FD56D0">
      <w:pPr>
        <w:rPr>
          <w:rFonts w:ascii="Garamond" w:hAnsi="Garamond"/>
          <w:b/>
          <w:sz w:val="28"/>
          <w:szCs w:val="28"/>
          <w:u w:val="single"/>
          <w:lang w:val="es-AR"/>
        </w:rPr>
      </w:pPr>
      <w:r w:rsidRPr="007E5AEF">
        <w:rPr>
          <w:rFonts w:ascii="Garamond" w:hAnsi="Garamond"/>
          <w:b/>
          <w:sz w:val="28"/>
          <w:szCs w:val="28"/>
          <w:u w:val="single"/>
        </w:rPr>
        <w:t>Sumario reuni</w:t>
      </w:r>
      <w:r w:rsidRPr="007E5AEF">
        <w:rPr>
          <w:rFonts w:ascii="Garamond" w:hAnsi="Garamond"/>
          <w:b/>
          <w:sz w:val="28"/>
          <w:szCs w:val="28"/>
          <w:u w:val="single"/>
          <w:lang w:val="es-AR"/>
        </w:rPr>
        <w:t>ón 30 de Noviembre 2022.</w:t>
      </w:r>
    </w:p>
    <w:p w:rsidR="007B72EF" w:rsidRPr="007E5AEF" w:rsidRDefault="00FD56D0" w:rsidP="007B72EF">
      <w:pPr>
        <w:pStyle w:val="Prrafodelista"/>
        <w:numPr>
          <w:ilvl w:val="0"/>
          <w:numId w:val="2"/>
        </w:numPr>
        <w:jc w:val="both"/>
        <w:rPr>
          <w:rFonts w:ascii="Garamond" w:hAnsi="Garamond"/>
          <w:sz w:val="28"/>
          <w:szCs w:val="28"/>
          <w:lang w:val="es-AR"/>
        </w:rPr>
      </w:pPr>
      <w:r w:rsidRPr="007E5AEF">
        <w:rPr>
          <w:rFonts w:ascii="Garamond" w:hAnsi="Garamond"/>
          <w:b/>
          <w:sz w:val="28"/>
          <w:szCs w:val="28"/>
          <w:u w:val="single"/>
          <w:lang w:val="es-AR"/>
        </w:rPr>
        <w:t>Ansonnaud Ricardo Sixto c/Dirección General Impositiva s/recurso directo de Organismo Externo. Corte Suprema de Justicia de la Nación.  4 de Octubre de 2022</w:t>
      </w:r>
      <w:r w:rsidRPr="007E5AEF">
        <w:rPr>
          <w:rFonts w:ascii="Garamond" w:hAnsi="Garamond"/>
          <w:sz w:val="28"/>
          <w:szCs w:val="28"/>
          <w:u w:val="single"/>
          <w:lang w:val="es-AR"/>
        </w:rPr>
        <w:t>.</w:t>
      </w:r>
      <w:r w:rsidRPr="007E5AEF">
        <w:rPr>
          <w:rFonts w:ascii="Garamond" w:hAnsi="Garamond"/>
          <w:sz w:val="28"/>
          <w:szCs w:val="28"/>
          <w:lang w:val="es-AR"/>
        </w:rPr>
        <w:t xml:space="preserve"> Orden de Intervención que no abarcó el período 2002. Determinación de oficio. Nulidad dictada en el marco de la causa penal</w:t>
      </w:r>
      <w:r w:rsidR="0003212A" w:rsidRPr="007E5AEF">
        <w:rPr>
          <w:rFonts w:ascii="Garamond" w:hAnsi="Garamond"/>
          <w:sz w:val="28"/>
          <w:szCs w:val="28"/>
          <w:lang w:val="es-AR"/>
        </w:rPr>
        <w:t xml:space="preserve"> por la Cámara Federal de Tucumán.</w:t>
      </w:r>
      <w:r w:rsidR="007B72EF" w:rsidRPr="007E5AEF">
        <w:rPr>
          <w:rFonts w:ascii="Garamond" w:hAnsi="Garamond"/>
          <w:sz w:val="28"/>
          <w:szCs w:val="28"/>
          <w:lang w:val="es-AR"/>
        </w:rPr>
        <w:t xml:space="preserve"> Sentencia firme y consentida. Intangibilidad de la cosa juzgada. Revocación de la sentencia de la CNACAF que estableció la procedencia de la determinación de oficio.</w:t>
      </w:r>
    </w:p>
    <w:p w:rsidR="00FD56D0" w:rsidRPr="007E5AEF" w:rsidRDefault="0012005B" w:rsidP="005438DD">
      <w:pPr>
        <w:pStyle w:val="Default"/>
        <w:numPr>
          <w:ilvl w:val="0"/>
          <w:numId w:val="2"/>
        </w:numPr>
        <w:jc w:val="both"/>
        <w:rPr>
          <w:rFonts w:ascii="Garamond" w:hAnsi="Garamond"/>
          <w:b/>
          <w:sz w:val="28"/>
          <w:szCs w:val="28"/>
          <w:lang w:val="es-AR"/>
        </w:rPr>
      </w:pPr>
      <w:r w:rsidRPr="007E5AEF">
        <w:rPr>
          <w:rFonts w:ascii="Garamond" w:hAnsi="Garamond"/>
          <w:b/>
          <w:sz w:val="28"/>
          <w:szCs w:val="28"/>
          <w:u w:val="single"/>
          <w:lang w:val="es-AR"/>
        </w:rPr>
        <w:t>Giménez</w:t>
      </w:r>
      <w:r w:rsidR="007B72EF" w:rsidRPr="007E5AEF">
        <w:rPr>
          <w:rFonts w:ascii="Garamond" w:hAnsi="Garamond"/>
          <w:b/>
          <w:sz w:val="28"/>
          <w:szCs w:val="28"/>
          <w:u w:val="single"/>
          <w:lang w:val="es-AR"/>
        </w:rPr>
        <w:t xml:space="preserve"> Aubert María Susana sobre infracción Ley 24769.</w:t>
      </w:r>
      <w:r w:rsidR="000C7656" w:rsidRPr="007E5AEF">
        <w:rPr>
          <w:rFonts w:ascii="Garamond" w:hAnsi="Garamond"/>
          <w:b/>
          <w:sz w:val="28"/>
          <w:szCs w:val="28"/>
          <w:u w:val="single"/>
          <w:lang w:val="es-AR"/>
        </w:rPr>
        <w:t xml:space="preserve"> JPE N°5. Octubre 2022. </w:t>
      </w:r>
      <w:r w:rsidR="00D028AD" w:rsidRPr="007E5AEF">
        <w:rPr>
          <w:rFonts w:ascii="Garamond" w:hAnsi="Garamond"/>
          <w:sz w:val="28"/>
          <w:szCs w:val="28"/>
          <w:lang w:val="es-AR"/>
        </w:rPr>
        <w:t xml:space="preserve">Evasión Agravada. </w:t>
      </w:r>
      <w:r w:rsidR="000C7656" w:rsidRPr="007E5AEF">
        <w:rPr>
          <w:rFonts w:ascii="Garamond" w:hAnsi="Garamond"/>
          <w:sz w:val="28"/>
          <w:szCs w:val="28"/>
          <w:lang w:val="es-AR"/>
        </w:rPr>
        <w:t xml:space="preserve">Impuesto sobre los Bienes Personales. Omisión de presentar la declaración jurada. </w:t>
      </w:r>
      <w:r w:rsidR="00D028AD" w:rsidRPr="007E5AEF">
        <w:rPr>
          <w:rFonts w:ascii="Garamond" w:hAnsi="Garamond"/>
          <w:sz w:val="28"/>
          <w:szCs w:val="28"/>
          <w:lang w:val="es-AR"/>
        </w:rPr>
        <w:t xml:space="preserve">Inexistencia de Ardid. Presentación de multinota con la composición del patrimonio.  </w:t>
      </w:r>
      <w:r w:rsidR="005438DD" w:rsidRPr="007E5AEF">
        <w:rPr>
          <w:rFonts w:ascii="Garamond" w:hAnsi="Garamond"/>
          <w:sz w:val="28"/>
          <w:szCs w:val="28"/>
          <w:lang w:val="es-AR"/>
        </w:rPr>
        <w:t xml:space="preserve">Presentación </w:t>
      </w:r>
      <w:r w:rsidR="00D028AD" w:rsidRPr="007E5AEF">
        <w:rPr>
          <w:rFonts w:ascii="Garamond" w:hAnsi="Garamond"/>
          <w:sz w:val="28"/>
          <w:szCs w:val="28"/>
          <w:lang w:val="es-AR"/>
        </w:rPr>
        <w:t>de una acción de inconstitucionalidad</w:t>
      </w:r>
      <w:r w:rsidR="005438DD" w:rsidRPr="007E5AEF">
        <w:rPr>
          <w:rFonts w:ascii="Garamond" w:hAnsi="Garamond"/>
          <w:sz w:val="28"/>
          <w:szCs w:val="28"/>
          <w:lang w:val="es-AR"/>
        </w:rPr>
        <w:t xml:space="preserve"> de la reforma introducida al artículo 25 de la ley N° 23.966, t.o. según artículo 28 de la ley N° 27.541, y del artículo 9 del decreto reglamentario N° 99/2019). Rechazo del requerimiento fiscal de instrucción. </w:t>
      </w:r>
    </w:p>
    <w:p w:rsidR="005438DD" w:rsidRPr="007E5AEF" w:rsidRDefault="00550871" w:rsidP="00550871">
      <w:pPr>
        <w:pStyle w:val="Default"/>
        <w:numPr>
          <w:ilvl w:val="0"/>
          <w:numId w:val="2"/>
        </w:numPr>
        <w:jc w:val="both"/>
        <w:rPr>
          <w:rFonts w:ascii="Garamond" w:hAnsi="Garamond"/>
          <w:sz w:val="28"/>
          <w:szCs w:val="28"/>
          <w:u w:val="single"/>
          <w:lang w:val="es-AR"/>
        </w:rPr>
      </w:pPr>
      <w:r w:rsidRPr="007E5AEF">
        <w:rPr>
          <w:rFonts w:ascii="Garamond" w:hAnsi="Garamond"/>
          <w:b/>
          <w:sz w:val="28"/>
          <w:szCs w:val="28"/>
          <w:u w:val="single"/>
          <w:lang w:val="es-AR"/>
        </w:rPr>
        <w:t xml:space="preserve">Incidente de acogimiento al régimen previsto por la Ley 27541 en causa CPE 1245/2017, CARATULADA: “BRUNETTI, MAURICIO ABEL Y OTROS SOBRE INFRACCIÓN LEY 24.769”. EXPEDIENTE N° CPE 1245/2017/1/CA2, J.N.P.E. N° 10, SECRETARÍA N° 20 ORDEN N° </w:t>
      </w:r>
      <w:proofErr w:type="gramStart"/>
      <w:r w:rsidRPr="007E5AEF">
        <w:rPr>
          <w:rFonts w:ascii="Garamond" w:hAnsi="Garamond"/>
          <w:b/>
          <w:sz w:val="28"/>
          <w:szCs w:val="28"/>
          <w:u w:val="single"/>
          <w:lang w:val="es-AR"/>
        </w:rPr>
        <w:t>30.606.</w:t>
      </w:r>
      <w:r w:rsidR="00DD7B8B">
        <w:rPr>
          <w:rFonts w:ascii="Garamond" w:hAnsi="Garamond"/>
          <w:b/>
          <w:sz w:val="28"/>
          <w:szCs w:val="28"/>
          <w:u w:val="single"/>
          <w:lang w:val="es-AR"/>
        </w:rPr>
        <w:t>CaPecon</w:t>
      </w:r>
      <w:proofErr w:type="gramEnd"/>
      <w:r w:rsidR="00DD7B8B">
        <w:rPr>
          <w:rFonts w:ascii="Garamond" w:hAnsi="Garamond"/>
          <w:b/>
          <w:sz w:val="28"/>
          <w:szCs w:val="28"/>
          <w:u w:val="single"/>
          <w:lang w:val="es-AR"/>
        </w:rPr>
        <w:t xml:space="preserve"> </w:t>
      </w:r>
      <w:r w:rsidRPr="007E5AEF">
        <w:rPr>
          <w:rFonts w:ascii="Garamond" w:hAnsi="Garamond"/>
          <w:b/>
          <w:sz w:val="28"/>
          <w:szCs w:val="28"/>
          <w:u w:val="single"/>
          <w:lang w:val="es-AR"/>
        </w:rPr>
        <w:t xml:space="preserve"> SALA “B”. Septiembre de 2022.</w:t>
      </w:r>
      <w:r w:rsidRPr="007E5AEF">
        <w:rPr>
          <w:rFonts w:ascii="Garamond" w:hAnsi="Garamond"/>
          <w:sz w:val="28"/>
          <w:szCs w:val="28"/>
          <w:u w:val="single"/>
          <w:lang w:val="es-AR"/>
        </w:rPr>
        <w:t xml:space="preserve"> </w:t>
      </w:r>
      <w:r w:rsidR="00CC18E8" w:rsidRPr="007E5AEF">
        <w:rPr>
          <w:rFonts w:ascii="Garamond" w:hAnsi="Garamond"/>
          <w:sz w:val="28"/>
          <w:szCs w:val="28"/>
          <w:lang w:val="es-AR"/>
        </w:rPr>
        <w:t xml:space="preserve">Acogimiento al régimen de facilidades de pago previsto por la Ley 27541. Aportes a la Obra social abonados con posterioridad. Aplicación del precedente VIDAL. </w:t>
      </w:r>
    </w:p>
    <w:p w:rsidR="00C75D62" w:rsidRPr="007E5AEF" w:rsidRDefault="00C75D62" w:rsidP="00C75D62">
      <w:pPr>
        <w:pStyle w:val="Default"/>
        <w:rPr>
          <w:rFonts w:ascii="Garamond" w:hAnsi="Garamond"/>
          <w:sz w:val="28"/>
          <w:szCs w:val="28"/>
          <w:lang w:val="es-AR"/>
        </w:rPr>
      </w:pPr>
    </w:p>
    <w:p w:rsidR="007E5AEF" w:rsidRPr="007E5AEF" w:rsidRDefault="00C75D62" w:rsidP="007E5AEF">
      <w:pPr>
        <w:pStyle w:val="Default"/>
        <w:numPr>
          <w:ilvl w:val="0"/>
          <w:numId w:val="2"/>
        </w:numPr>
        <w:jc w:val="both"/>
        <w:rPr>
          <w:rFonts w:ascii="Garamond" w:hAnsi="Garamond"/>
          <w:sz w:val="28"/>
          <w:szCs w:val="28"/>
          <w:u w:val="single"/>
          <w:lang w:val="es-AR"/>
        </w:rPr>
      </w:pPr>
      <w:r w:rsidRPr="007E5AEF">
        <w:rPr>
          <w:rFonts w:ascii="Garamond" w:hAnsi="Garamond"/>
          <w:b/>
          <w:bCs/>
          <w:sz w:val="28"/>
          <w:szCs w:val="28"/>
          <w:u w:val="single"/>
          <w:lang w:val="es-AR"/>
        </w:rPr>
        <w:t xml:space="preserve">Jaureguiberry, Horacio Arturo s/recurso de </w:t>
      </w:r>
      <w:r w:rsidR="0012005B" w:rsidRPr="007E5AEF">
        <w:rPr>
          <w:rFonts w:ascii="Garamond" w:hAnsi="Garamond"/>
          <w:b/>
          <w:bCs/>
          <w:sz w:val="28"/>
          <w:szCs w:val="28"/>
          <w:u w:val="single"/>
          <w:lang w:val="es-AR"/>
        </w:rPr>
        <w:t>casación. CFCP</w:t>
      </w:r>
      <w:r w:rsidRPr="007E5AEF">
        <w:rPr>
          <w:rFonts w:ascii="Garamond" w:hAnsi="Garamond"/>
          <w:b/>
          <w:bCs/>
          <w:sz w:val="28"/>
          <w:szCs w:val="28"/>
          <w:u w:val="single"/>
          <w:lang w:val="es-AR"/>
        </w:rPr>
        <w:t xml:space="preserve"> Sala V. 24 de Octubre de 2022. </w:t>
      </w:r>
      <w:r w:rsidRPr="007E5AEF">
        <w:rPr>
          <w:rFonts w:ascii="Garamond" w:hAnsi="Garamond"/>
          <w:bCs/>
          <w:sz w:val="28"/>
          <w:szCs w:val="28"/>
          <w:lang w:val="es-AR"/>
        </w:rPr>
        <w:t>Ley penal tributaria. Omisión de depósito de los aportes de la seguridad social y de las obras sociales. Sobreseimiento. División de los hechos por conceptos adeudados. A</w:t>
      </w:r>
      <w:r w:rsidRPr="007E5AEF">
        <w:rPr>
          <w:rFonts w:ascii="Garamond" w:hAnsi="Garamond"/>
          <w:bCs/>
          <w:sz w:val="28"/>
          <w:szCs w:val="28"/>
          <w:lang w:val="es-ES"/>
        </w:rPr>
        <w:t>portes de la seguridad social. Acogimiento al Plan de Facilidades ley 27.541. Aportes a las obras sociales no canceladas. Aplicación del monto mínimo (</w:t>
      </w:r>
      <w:r w:rsidRPr="007E5AEF">
        <w:rPr>
          <w:rFonts w:ascii="Garamond" w:hAnsi="Garamond"/>
          <w:bCs/>
          <w:sz w:val="28"/>
          <w:szCs w:val="28"/>
          <w:lang w:val="es-AR"/>
        </w:rPr>
        <w:t>art. 7 </w:t>
      </w:r>
      <w:r w:rsidRPr="007E5AEF">
        <w:rPr>
          <w:rFonts w:ascii="Garamond" w:hAnsi="Garamond"/>
          <w:bCs/>
          <w:sz w:val="28"/>
          <w:szCs w:val="28"/>
          <w:lang w:val="es-ES"/>
        </w:rPr>
        <w:t>del Régimen Penal Tributario, previsto en el artículo 279 de la ley N° 27.430).  Nulidad. Remisión al tribunal de origen.</w:t>
      </w:r>
    </w:p>
    <w:p w:rsidR="007E5AEF" w:rsidRPr="007E5AEF" w:rsidRDefault="007E5AEF" w:rsidP="007E5AEF">
      <w:pPr>
        <w:pStyle w:val="Prrafodelista"/>
        <w:rPr>
          <w:rFonts w:ascii="Garamond" w:hAnsi="Garamond" w:cs="Arial"/>
          <w:sz w:val="28"/>
          <w:szCs w:val="28"/>
          <w:lang w:val="es-AR"/>
        </w:rPr>
      </w:pPr>
    </w:p>
    <w:p w:rsidR="007E5AEF" w:rsidRPr="007E5AEF" w:rsidRDefault="00AC32F4" w:rsidP="007E5AEF">
      <w:pPr>
        <w:pStyle w:val="Default"/>
        <w:numPr>
          <w:ilvl w:val="0"/>
          <w:numId w:val="2"/>
        </w:numPr>
        <w:jc w:val="both"/>
        <w:rPr>
          <w:rFonts w:ascii="Garamond" w:hAnsi="Garamond"/>
          <w:sz w:val="28"/>
          <w:szCs w:val="28"/>
          <w:u w:val="single"/>
          <w:lang w:val="es-AR"/>
        </w:rPr>
      </w:pPr>
      <w:r w:rsidRPr="00AC32F4">
        <w:rPr>
          <w:rFonts w:ascii="Garamond" w:hAnsi="Garamond" w:cs="Arial"/>
          <w:b/>
          <w:sz w:val="28"/>
          <w:szCs w:val="28"/>
          <w:u w:val="single"/>
          <w:lang w:val="es-AR"/>
        </w:rPr>
        <w:t xml:space="preserve">Legajo de apelación de Rota, Antonio </w:t>
      </w:r>
      <w:r w:rsidR="0012005B" w:rsidRPr="00AC32F4">
        <w:rPr>
          <w:rFonts w:ascii="Garamond" w:hAnsi="Garamond" w:cs="Arial"/>
          <w:b/>
          <w:sz w:val="28"/>
          <w:szCs w:val="28"/>
          <w:u w:val="single"/>
          <w:lang w:val="es-AR"/>
        </w:rPr>
        <w:t>Anselmo</w:t>
      </w:r>
      <w:r w:rsidRPr="00AC32F4">
        <w:rPr>
          <w:rFonts w:ascii="Garamond" w:hAnsi="Garamond" w:cs="Arial"/>
          <w:b/>
          <w:sz w:val="28"/>
          <w:szCs w:val="28"/>
          <w:u w:val="single"/>
          <w:lang w:val="es-AR"/>
        </w:rPr>
        <w:t xml:space="preserve"> Losada, Karina </w:t>
      </w:r>
      <w:r w:rsidR="0012005B" w:rsidRPr="00AC32F4">
        <w:rPr>
          <w:rFonts w:ascii="Garamond" w:hAnsi="Garamond" w:cs="Arial"/>
          <w:b/>
          <w:sz w:val="28"/>
          <w:szCs w:val="28"/>
          <w:u w:val="single"/>
          <w:lang w:val="es-AR"/>
        </w:rPr>
        <w:t>Andrea</w:t>
      </w:r>
      <w:r w:rsidRPr="00AC32F4">
        <w:rPr>
          <w:rFonts w:ascii="Garamond" w:hAnsi="Garamond" w:cs="Arial"/>
          <w:b/>
          <w:sz w:val="28"/>
          <w:szCs w:val="28"/>
          <w:u w:val="single"/>
          <w:lang w:val="es-AR"/>
        </w:rPr>
        <w:t xml:space="preserve"> en autos </w:t>
      </w:r>
      <w:r w:rsidR="007E5AEF" w:rsidRPr="00AC32F4">
        <w:rPr>
          <w:rFonts w:ascii="Garamond" w:hAnsi="Garamond" w:cs="Arial"/>
          <w:b/>
          <w:sz w:val="28"/>
          <w:szCs w:val="28"/>
          <w:u w:val="single"/>
          <w:lang w:val="es-AR"/>
        </w:rPr>
        <w:t>“CLO CLO</w:t>
      </w:r>
      <w:r w:rsidRPr="00AC32F4">
        <w:rPr>
          <w:rFonts w:ascii="Garamond" w:hAnsi="Garamond" w:cs="Arial"/>
          <w:b/>
          <w:sz w:val="28"/>
          <w:szCs w:val="28"/>
          <w:u w:val="single"/>
          <w:lang w:val="es-AR"/>
        </w:rPr>
        <w:t xml:space="preserve"> SA</w:t>
      </w:r>
      <w:r w:rsidR="007E5AEF" w:rsidRPr="00AC32F4">
        <w:rPr>
          <w:rFonts w:ascii="Garamond" w:hAnsi="Garamond" w:cs="Arial"/>
          <w:b/>
          <w:sz w:val="28"/>
          <w:szCs w:val="28"/>
          <w:u w:val="single"/>
          <w:lang w:val="es-AR"/>
        </w:rPr>
        <w:t xml:space="preserve"> s/infracción 24769”</w:t>
      </w:r>
      <w:r w:rsidRPr="00AC32F4">
        <w:rPr>
          <w:rFonts w:ascii="Garamond" w:hAnsi="Garamond" w:cs="Arial"/>
          <w:b/>
          <w:sz w:val="28"/>
          <w:szCs w:val="28"/>
          <w:u w:val="single"/>
          <w:lang w:val="es-AR"/>
        </w:rPr>
        <w:t xml:space="preserve"> CaPecon </w:t>
      </w:r>
      <w:r w:rsidRPr="00AC32F4">
        <w:rPr>
          <w:rFonts w:ascii="Garamond" w:hAnsi="Garamond" w:cs="Arial"/>
          <w:b/>
          <w:sz w:val="28"/>
          <w:szCs w:val="28"/>
          <w:u w:val="single"/>
          <w:lang w:val="es-AR"/>
        </w:rPr>
        <w:t>Sala A</w:t>
      </w:r>
      <w:r w:rsidRPr="00AC32F4">
        <w:rPr>
          <w:rFonts w:ascii="Garamond" w:hAnsi="Garamond" w:cs="Arial"/>
          <w:b/>
          <w:sz w:val="28"/>
          <w:szCs w:val="28"/>
          <w:u w:val="single"/>
          <w:lang w:val="es-AR"/>
        </w:rPr>
        <w:t xml:space="preserve"> Octubre 2022</w:t>
      </w:r>
      <w:r w:rsidR="007E5AEF" w:rsidRPr="00AC32F4">
        <w:rPr>
          <w:rFonts w:ascii="Garamond" w:hAnsi="Garamond" w:cs="Arial"/>
          <w:b/>
          <w:sz w:val="28"/>
          <w:szCs w:val="28"/>
          <w:u w:val="single"/>
          <w:lang w:val="es-AR"/>
        </w:rPr>
        <w:t>.</w:t>
      </w:r>
      <w:r w:rsidR="007E5AEF" w:rsidRPr="007E5AEF">
        <w:rPr>
          <w:rFonts w:ascii="Garamond" w:hAnsi="Garamond" w:cs="Arial"/>
          <w:sz w:val="28"/>
          <w:szCs w:val="28"/>
          <w:lang w:val="es-AR"/>
        </w:rPr>
        <w:t xml:space="preserve"> Apropiación indebida de recursos de la seguridad social (ART </w:t>
      </w:r>
      <w:r>
        <w:rPr>
          <w:rFonts w:ascii="Garamond" w:hAnsi="Garamond" w:cs="Arial"/>
          <w:sz w:val="28"/>
          <w:szCs w:val="28"/>
          <w:lang w:val="es-AR"/>
        </w:rPr>
        <w:t xml:space="preserve">N° </w:t>
      </w:r>
      <w:r w:rsidR="007E5AEF" w:rsidRPr="007E5AEF">
        <w:rPr>
          <w:rFonts w:ascii="Garamond" w:hAnsi="Garamond" w:cs="Arial"/>
          <w:sz w:val="28"/>
          <w:szCs w:val="28"/>
          <w:lang w:val="es-AR"/>
        </w:rPr>
        <w:t xml:space="preserve">9 </w:t>
      </w:r>
      <w:r>
        <w:rPr>
          <w:rFonts w:ascii="Garamond" w:hAnsi="Garamond" w:cs="Arial"/>
          <w:sz w:val="28"/>
          <w:szCs w:val="28"/>
          <w:lang w:val="es-AR"/>
        </w:rPr>
        <w:t xml:space="preserve">Ley </w:t>
      </w:r>
      <w:r w:rsidR="007E5AEF" w:rsidRPr="007E5AEF">
        <w:rPr>
          <w:rFonts w:ascii="Garamond" w:hAnsi="Garamond" w:cs="Arial"/>
          <w:sz w:val="28"/>
          <w:szCs w:val="28"/>
          <w:lang w:val="es-AR"/>
        </w:rPr>
        <w:t>24769). Apelación contra un sobreseimiento parcial</w:t>
      </w:r>
      <w:r>
        <w:rPr>
          <w:rFonts w:ascii="Garamond" w:hAnsi="Garamond" w:cs="Arial"/>
          <w:sz w:val="28"/>
          <w:szCs w:val="28"/>
          <w:lang w:val="es-AR"/>
        </w:rPr>
        <w:t xml:space="preserve"> y falta de mé</w:t>
      </w:r>
      <w:r w:rsidR="007E5AEF" w:rsidRPr="007E5AEF">
        <w:rPr>
          <w:rFonts w:ascii="Garamond" w:hAnsi="Garamond" w:cs="Arial"/>
          <w:sz w:val="28"/>
          <w:szCs w:val="28"/>
          <w:lang w:val="es-AR"/>
        </w:rPr>
        <w:t>rito (MPF). O</w:t>
      </w:r>
      <w:r>
        <w:rPr>
          <w:rFonts w:ascii="Garamond" w:hAnsi="Garamond" w:cs="Arial"/>
          <w:sz w:val="28"/>
          <w:szCs w:val="28"/>
          <w:lang w:val="es-AR"/>
        </w:rPr>
        <w:t xml:space="preserve">bra </w:t>
      </w:r>
      <w:r w:rsidR="007E5AEF" w:rsidRPr="007E5AEF">
        <w:rPr>
          <w:rFonts w:ascii="Garamond" w:hAnsi="Garamond" w:cs="Arial"/>
          <w:sz w:val="28"/>
          <w:szCs w:val="28"/>
          <w:lang w:val="es-AR"/>
        </w:rPr>
        <w:t>s</w:t>
      </w:r>
      <w:r>
        <w:rPr>
          <w:rFonts w:ascii="Garamond" w:hAnsi="Garamond" w:cs="Arial"/>
          <w:sz w:val="28"/>
          <w:szCs w:val="28"/>
          <w:lang w:val="es-AR"/>
        </w:rPr>
        <w:t>ocial</w:t>
      </w:r>
      <w:r w:rsidR="007E5AEF" w:rsidRPr="007E5AEF">
        <w:rPr>
          <w:rFonts w:ascii="Garamond" w:hAnsi="Garamond" w:cs="Arial"/>
          <w:sz w:val="28"/>
          <w:szCs w:val="28"/>
          <w:lang w:val="es-AR"/>
        </w:rPr>
        <w:t xml:space="preserve"> y previsional. Aplicación de la R</w:t>
      </w:r>
      <w:r>
        <w:rPr>
          <w:rFonts w:ascii="Garamond" w:hAnsi="Garamond" w:cs="Arial"/>
          <w:sz w:val="28"/>
          <w:szCs w:val="28"/>
          <w:lang w:val="es-AR"/>
        </w:rPr>
        <w:t>esolución PGN N°</w:t>
      </w:r>
      <w:r w:rsidR="007E5AEF" w:rsidRPr="007E5AEF">
        <w:rPr>
          <w:rFonts w:ascii="Garamond" w:hAnsi="Garamond" w:cs="Arial"/>
          <w:sz w:val="28"/>
          <w:szCs w:val="28"/>
          <w:lang w:val="es-AR"/>
        </w:rPr>
        <w:t xml:space="preserve"> 18/18 </w:t>
      </w:r>
      <w:r>
        <w:rPr>
          <w:rFonts w:ascii="Garamond" w:hAnsi="Garamond" w:cs="Arial"/>
          <w:sz w:val="28"/>
          <w:szCs w:val="28"/>
          <w:lang w:val="es-AR"/>
        </w:rPr>
        <w:t>y ley penal má</w:t>
      </w:r>
      <w:r w:rsidR="007E5AEF" w:rsidRPr="007E5AEF">
        <w:rPr>
          <w:rFonts w:ascii="Garamond" w:hAnsi="Garamond" w:cs="Arial"/>
          <w:sz w:val="28"/>
          <w:szCs w:val="28"/>
          <w:lang w:val="es-AR"/>
        </w:rPr>
        <w:t>s benigna.</w:t>
      </w:r>
      <w:r>
        <w:rPr>
          <w:rFonts w:ascii="Garamond" w:hAnsi="Garamond" w:cs="Arial"/>
          <w:sz w:val="28"/>
          <w:szCs w:val="28"/>
          <w:lang w:val="es-AR"/>
        </w:rPr>
        <w:t xml:space="preserve"> </w:t>
      </w:r>
      <w:r w:rsidR="007E5AEF" w:rsidRPr="007E5AEF">
        <w:rPr>
          <w:rFonts w:ascii="Garamond" w:hAnsi="Garamond" w:cs="Arial"/>
          <w:sz w:val="28"/>
          <w:szCs w:val="28"/>
          <w:lang w:val="es-AR"/>
        </w:rPr>
        <w:t xml:space="preserve">Necesidad de un peritaje contable. </w:t>
      </w:r>
      <w:r w:rsidR="007E5AEF" w:rsidRPr="00AC32F4">
        <w:rPr>
          <w:rFonts w:ascii="Garamond" w:hAnsi="Garamond" w:cs="Arial"/>
          <w:sz w:val="28"/>
          <w:szCs w:val="28"/>
          <w:lang w:val="es-AR"/>
        </w:rPr>
        <w:t>Improcedencia de indagatoria conjunta.</w:t>
      </w:r>
    </w:p>
    <w:p w:rsidR="007E5AEF" w:rsidRPr="007E5AEF" w:rsidRDefault="007E5AEF" w:rsidP="007E5AEF">
      <w:pPr>
        <w:pStyle w:val="Prrafodelista"/>
        <w:rPr>
          <w:rFonts w:ascii="Garamond" w:hAnsi="Garamond" w:cs="Arial"/>
          <w:sz w:val="28"/>
          <w:szCs w:val="28"/>
          <w:lang w:val="es-AR"/>
        </w:rPr>
      </w:pPr>
    </w:p>
    <w:p w:rsidR="007E5AEF" w:rsidRPr="007E5AEF" w:rsidRDefault="007E5AEF" w:rsidP="007E5AEF">
      <w:pPr>
        <w:pStyle w:val="Default"/>
        <w:numPr>
          <w:ilvl w:val="0"/>
          <w:numId w:val="2"/>
        </w:numPr>
        <w:jc w:val="both"/>
        <w:rPr>
          <w:rFonts w:ascii="Garamond" w:hAnsi="Garamond"/>
          <w:sz w:val="28"/>
          <w:szCs w:val="28"/>
          <w:u w:val="single"/>
          <w:lang w:val="es-AR"/>
        </w:rPr>
      </w:pPr>
      <w:r w:rsidRPr="004D10F7">
        <w:rPr>
          <w:rFonts w:ascii="Garamond" w:hAnsi="Garamond" w:cs="Arial"/>
          <w:b/>
          <w:sz w:val="28"/>
          <w:szCs w:val="28"/>
          <w:u w:val="single"/>
          <w:lang w:val="es-AR"/>
        </w:rPr>
        <w:t xml:space="preserve">"KARTONA BUENOS AIRES S.A. SOBRE INFRACCIÓN LEY 24.769". </w:t>
      </w:r>
      <w:r w:rsidR="004D10F7" w:rsidRPr="004D10F7">
        <w:rPr>
          <w:rFonts w:ascii="Garamond" w:hAnsi="Garamond" w:cs="Arial"/>
          <w:b/>
          <w:sz w:val="28"/>
          <w:szCs w:val="28"/>
          <w:u w:val="single"/>
          <w:lang w:val="es-AR"/>
        </w:rPr>
        <w:t>JPE N° 4,</w:t>
      </w:r>
      <w:r w:rsidR="004D10F7" w:rsidRPr="004D10F7">
        <w:rPr>
          <w:rFonts w:ascii="Garamond" w:hAnsi="Garamond" w:cs="Arial"/>
          <w:b/>
          <w:sz w:val="28"/>
          <w:szCs w:val="28"/>
          <w:u w:val="single"/>
          <w:lang w:val="es-AR"/>
        </w:rPr>
        <w:t xml:space="preserve"> Octubre 2022.</w:t>
      </w:r>
      <w:r w:rsidR="004D10F7">
        <w:rPr>
          <w:rFonts w:ascii="Garamond" w:hAnsi="Garamond" w:cs="Arial"/>
          <w:sz w:val="28"/>
          <w:szCs w:val="28"/>
          <w:lang w:val="es-AR"/>
        </w:rPr>
        <w:t xml:space="preserve"> </w:t>
      </w:r>
      <w:r w:rsidRPr="007E5AEF">
        <w:rPr>
          <w:rFonts w:ascii="Garamond" w:hAnsi="Garamond" w:cs="Arial"/>
          <w:sz w:val="28"/>
          <w:szCs w:val="28"/>
          <w:lang w:val="es-AR"/>
        </w:rPr>
        <w:t>Sobreseimiento. Delito de Evasión Art</w:t>
      </w:r>
      <w:r w:rsidR="004D10F7">
        <w:rPr>
          <w:rFonts w:ascii="Garamond" w:hAnsi="Garamond" w:cs="Arial"/>
          <w:sz w:val="28"/>
          <w:szCs w:val="28"/>
          <w:lang w:val="es-AR"/>
        </w:rPr>
        <w:t>ículo N°</w:t>
      </w:r>
      <w:r w:rsidRPr="007E5AEF">
        <w:rPr>
          <w:rFonts w:ascii="Garamond" w:hAnsi="Garamond" w:cs="Arial"/>
          <w:sz w:val="28"/>
          <w:szCs w:val="28"/>
          <w:lang w:val="es-AR"/>
        </w:rPr>
        <w:t xml:space="preserve"> 1 y 2 por I</w:t>
      </w:r>
      <w:r w:rsidR="004D10F7">
        <w:rPr>
          <w:rFonts w:ascii="Garamond" w:hAnsi="Garamond" w:cs="Arial"/>
          <w:sz w:val="28"/>
          <w:szCs w:val="28"/>
          <w:lang w:val="es-AR"/>
        </w:rPr>
        <w:t xml:space="preserve">mpuesto a las </w:t>
      </w:r>
      <w:r w:rsidRPr="007E5AEF">
        <w:rPr>
          <w:rFonts w:ascii="Garamond" w:hAnsi="Garamond" w:cs="Arial"/>
          <w:sz w:val="28"/>
          <w:szCs w:val="28"/>
          <w:lang w:val="es-AR"/>
        </w:rPr>
        <w:t>G</w:t>
      </w:r>
      <w:r w:rsidR="004D10F7">
        <w:rPr>
          <w:rFonts w:ascii="Garamond" w:hAnsi="Garamond" w:cs="Arial"/>
          <w:sz w:val="28"/>
          <w:szCs w:val="28"/>
          <w:lang w:val="es-AR"/>
        </w:rPr>
        <w:t xml:space="preserve">anancias </w:t>
      </w:r>
      <w:r w:rsidRPr="007E5AEF">
        <w:rPr>
          <w:rFonts w:ascii="Garamond" w:hAnsi="Garamond" w:cs="Arial"/>
          <w:sz w:val="28"/>
          <w:szCs w:val="28"/>
          <w:lang w:val="es-AR"/>
        </w:rPr>
        <w:t xml:space="preserve">. Negativa al llamado de indagatoria y producción de nueva prueba. Solicitud del fiscal para sobreseer. Análisis general del elemento objetivo. </w:t>
      </w:r>
      <w:r w:rsidR="004D10F7" w:rsidRPr="004D10F7">
        <w:rPr>
          <w:rFonts w:ascii="Garamond" w:hAnsi="Garamond" w:cs="Arial"/>
          <w:sz w:val="28"/>
          <w:szCs w:val="28"/>
          <w:lang w:val="es-AR"/>
        </w:rPr>
        <w:t xml:space="preserve">Condición económica </w:t>
      </w:r>
      <w:r w:rsidRPr="004D10F7">
        <w:rPr>
          <w:rFonts w:ascii="Garamond" w:hAnsi="Garamond" w:cs="Arial"/>
          <w:sz w:val="28"/>
          <w:szCs w:val="28"/>
          <w:lang w:val="es-AR"/>
        </w:rPr>
        <w:t xml:space="preserve">del imputado. Acreditación y decreto de quiebra. </w:t>
      </w:r>
    </w:p>
    <w:p w:rsidR="007E5AEF" w:rsidRPr="007E5AEF" w:rsidRDefault="007E5AEF" w:rsidP="007E5AEF">
      <w:pPr>
        <w:pStyle w:val="Prrafodelista"/>
        <w:rPr>
          <w:rFonts w:ascii="Garamond" w:hAnsi="Garamond" w:cs="Arial"/>
          <w:sz w:val="28"/>
          <w:szCs w:val="28"/>
          <w:lang w:val="es-AR"/>
        </w:rPr>
      </w:pPr>
    </w:p>
    <w:p w:rsidR="007E5AEF" w:rsidRPr="007E5AEF" w:rsidRDefault="007E5AEF" w:rsidP="007E5AEF">
      <w:pPr>
        <w:pStyle w:val="Default"/>
        <w:numPr>
          <w:ilvl w:val="0"/>
          <w:numId w:val="2"/>
        </w:numPr>
        <w:jc w:val="both"/>
        <w:rPr>
          <w:rFonts w:ascii="Garamond" w:hAnsi="Garamond"/>
          <w:sz w:val="28"/>
          <w:szCs w:val="28"/>
          <w:u w:val="single"/>
          <w:lang w:val="es-AR"/>
        </w:rPr>
      </w:pPr>
      <w:r w:rsidRPr="004D10F7">
        <w:rPr>
          <w:rFonts w:ascii="Garamond" w:hAnsi="Garamond" w:cs="Arial"/>
          <w:b/>
          <w:sz w:val="28"/>
          <w:szCs w:val="28"/>
          <w:u w:val="single"/>
          <w:lang w:val="es-AR"/>
        </w:rPr>
        <w:t>“</w:t>
      </w:r>
      <w:r w:rsidR="00D570CB">
        <w:rPr>
          <w:rFonts w:ascii="Garamond" w:hAnsi="Garamond" w:cs="Arial"/>
          <w:b/>
          <w:sz w:val="28"/>
          <w:szCs w:val="28"/>
          <w:u w:val="single"/>
          <w:lang w:val="es-AR"/>
        </w:rPr>
        <w:t xml:space="preserve">Legajo de apelación formado en la causa N° CPE 780/2019. </w:t>
      </w:r>
      <w:r w:rsidRPr="004D10F7">
        <w:rPr>
          <w:rFonts w:ascii="Garamond" w:hAnsi="Garamond" w:cs="Arial"/>
          <w:b/>
          <w:sz w:val="28"/>
          <w:szCs w:val="28"/>
          <w:u w:val="single"/>
          <w:lang w:val="es-AR"/>
        </w:rPr>
        <w:t>ESUCO S.A. - JCR S.A. - CPC S.A. - C&amp;E CONSTRUCCIONES S.A. UNION TRANSITORIA DE EMPRESAS SOBRE INFRACCIÓN LEY 24.769.</w:t>
      </w:r>
      <w:r w:rsidR="004D10F7" w:rsidRPr="004D10F7">
        <w:rPr>
          <w:rFonts w:ascii="Garamond" w:hAnsi="Garamond" w:cs="Arial"/>
          <w:b/>
          <w:sz w:val="28"/>
          <w:szCs w:val="28"/>
          <w:u w:val="single"/>
          <w:lang w:val="es-AR"/>
        </w:rPr>
        <w:t xml:space="preserve"> CaPecon </w:t>
      </w:r>
      <w:r w:rsidR="004D10F7" w:rsidRPr="004D10F7">
        <w:rPr>
          <w:rFonts w:ascii="Garamond" w:hAnsi="Garamond" w:cs="Arial"/>
          <w:b/>
          <w:sz w:val="28"/>
          <w:szCs w:val="28"/>
          <w:u w:val="single"/>
          <w:lang w:val="es-AR"/>
        </w:rPr>
        <w:t>Sala B,</w:t>
      </w:r>
      <w:r w:rsidR="004D10F7" w:rsidRPr="004D10F7">
        <w:rPr>
          <w:rFonts w:ascii="Garamond" w:hAnsi="Garamond" w:cs="Arial"/>
          <w:b/>
          <w:sz w:val="28"/>
          <w:szCs w:val="28"/>
          <w:u w:val="single"/>
          <w:lang w:val="es-AR"/>
        </w:rPr>
        <w:t xml:space="preserve"> Noviembre 2022.</w:t>
      </w:r>
      <w:r w:rsidR="004D10F7">
        <w:rPr>
          <w:rFonts w:ascii="Garamond" w:hAnsi="Garamond" w:cs="Arial"/>
          <w:sz w:val="28"/>
          <w:szCs w:val="28"/>
          <w:lang w:val="es-AR"/>
        </w:rPr>
        <w:t xml:space="preserve">  </w:t>
      </w:r>
      <w:r w:rsidRPr="007E5AEF">
        <w:rPr>
          <w:rFonts w:ascii="Garamond" w:hAnsi="Garamond" w:cs="Arial"/>
          <w:sz w:val="28"/>
          <w:szCs w:val="28"/>
          <w:lang w:val="es-AR"/>
        </w:rPr>
        <w:t xml:space="preserve"> Apelación contra un decreto de falta de mérito. Tratamiento impositivo en el IVA de UTE´S. Asientos contables, </w:t>
      </w:r>
      <w:r w:rsidRPr="007E5AEF">
        <w:rPr>
          <w:rFonts w:ascii="Garamond" w:hAnsi="Garamond" w:cs="Arial"/>
          <w:i/>
          <w:sz w:val="28"/>
          <w:szCs w:val="28"/>
          <w:lang w:val="es-AR"/>
        </w:rPr>
        <w:t>Anticipo financiero</w:t>
      </w:r>
      <w:r w:rsidRPr="007E5AEF">
        <w:rPr>
          <w:rFonts w:ascii="Garamond" w:hAnsi="Garamond" w:cs="Arial"/>
          <w:sz w:val="28"/>
          <w:szCs w:val="28"/>
          <w:lang w:val="es-AR"/>
        </w:rPr>
        <w:t xml:space="preserve"> o </w:t>
      </w:r>
      <w:r w:rsidRPr="007E5AEF">
        <w:rPr>
          <w:rFonts w:ascii="Garamond" w:hAnsi="Garamond" w:cs="Arial"/>
          <w:i/>
          <w:sz w:val="28"/>
          <w:szCs w:val="28"/>
          <w:lang w:val="es-AR"/>
        </w:rPr>
        <w:t>pago anticipado</w:t>
      </w:r>
      <w:r w:rsidRPr="007E5AEF">
        <w:rPr>
          <w:rFonts w:ascii="Garamond" w:hAnsi="Garamond" w:cs="Arial"/>
          <w:sz w:val="28"/>
          <w:szCs w:val="28"/>
          <w:lang w:val="es-AR"/>
        </w:rPr>
        <w:t xml:space="preserve">. Nulidad de la indagatoria de la UTE. Representación a incidencia de no ser sujeto de derecho. </w:t>
      </w:r>
      <w:r w:rsidRPr="007E5AEF">
        <w:rPr>
          <w:rFonts w:ascii="Garamond" w:hAnsi="Garamond" w:cs="Arial"/>
          <w:sz w:val="28"/>
          <w:szCs w:val="28"/>
        </w:rPr>
        <w:t>Autonomía del Derecho Tributario sustantivo.</w:t>
      </w:r>
    </w:p>
    <w:p w:rsidR="007E5AEF" w:rsidRPr="007E5AEF" w:rsidRDefault="007E5AEF" w:rsidP="007E5AEF">
      <w:pPr>
        <w:pStyle w:val="Prrafodelista"/>
        <w:rPr>
          <w:rFonts w:ascii="Garamond" w:hAnsi="Garamond" w:cs="Arial"/>
          <w:sz w:val="28"/>
          <w:szCs w:val="28"/>
          <w:lang w:val="es-AR"/>
        </w:rPr>
      </w:pPr>
    </w:p>
    <w:p w:rsidR="007E5AEF" w:rsidRPr="007E5AEF" w:rsidRDefault="007E5AEF" w:rsidP="007E5AEF">
      <w:pPr>
        <w:pStyle w:val="Default"/>
        <w:numPr>
          <w:ilvl w:val="0"/>
          <w:numId w:val="2"/>
        </w:numPr>
        <w:jc w:val="both"/>
        <w:rPr>
          <w:rFonts w:ascii="Garamond" w:hAnsi="Garamond"/>
          <w:sz w:val="28"/>
          <w:szCs w:val="28"/>
          <w:u w:val="single"/>
          <w:lang w:val="es-AR"/>
        </w:rPr>
      </w:pPr>
      <w:r w:rsidRPr="005C37E6">
        <w:rPr>
          <w:rFonts w:ascii="Garamond" w:hAnsi="Garamond" w:cs="Arial"/>
          <w:b/>
          <w:sz w:val="28"/>
          <w:szCs w:val="28"/>
          <w:u w:val="single"/>
          <w:lang w:val="es-AR"/>
        </w:rPr>
        <w:t>“DELPECH, Gustavo Jorge, CAVATORTA, Diego Víctor; FRANCO CHERMIDY, Jadiyi; SILBERGLEIT, Christian Esteban; IMPERIALE, Augusto Bernardo José s/infracción ley 24.769”</w:t>
      </w:r>
      <w:r w:rsidR="005C37E6" w:rsidRPr="005C37E6">
        <w:rPr>
          <w:rFonts w:ascii="Garamond" w:hAnsi="Garamond" w:cs="Arial"/>
          <w:b/>
          <w:sz w:val="28"/>
          <w:szCs w:val="28"/>
          <w:u w:val="single"/>
          <w:lang w:val="es-AR"/>
        </w:rPr>
        <w:t xml:space="preserve"> </w:t>
      </w:r>
      <w:r w:rsidR="005C37E6" w:rsidRPr="005C37E6">
        <w:rPr>
          <w:rFonts w:ascii="Garamond" w:hAnsi="Garamond" w:cs="Arial"/>
          <w:b/>
          <w:sz w:val="28"/>
          <w:szCs w:val="28"/>
          <w:u w:val="single"/>
          <w:lang w:val="es-AR"/>
        </w:rPr>
        <w:t xml:space="preserve">TOPE </w:t>
      </w:r>
      <w:r w:rsidR="005C37E6">
        <w:rPr>
          <w:rFonts w:ascii="Garamond" w:hAnsi="Garamond" w:cs="Arial"/>
          <w:b/>
          <w:sz w:val="28"/>
          <w:szCs w:val="28"/>
          <w:u w:val="single"/>
          <w:lang w:val="es-AR"/>
        </w:rPr>
        <w:t xml:space="preserve">N° </w:t>
      </w:r>
      <w:r w:rsidR="005C37E6" w:rsidRPr="005C37E6">
        <w:rPr>
          <w:rFonts w:ascii="Garamond" w:hAnsi="Garamond" w:cs="Arial"/>
          <w:b/>
          <w:sz w:val="28"/>
          <w:szCs w:val="28"/>
          <w:u w:val="single"/>
          <w:lang w:val="es-AR"/>
        </w:rPr>
        <w:t>3,</w:t>
      </w:r>
      <w:r w:rsidR="005C37E6" w:rsidRPr="005C37E6">
        <w:rPr>
          <w:rFonts w:ascii="Garamond" w:hAnsi="Garamond" w:cs="Arial"/>
          <w:b/>
          <w:sz w:val="28"/>
          <w:szCs w:val="28"/>
          <w:u w:val="single"/>
          <w:lang w:val="es-AR"/>
        </w:rPr>
        <w:t xml:space="preserve"> 9 de Noviembre de 2022</w:t>
      </w:r>
      <w:r w:rsidRPr="005C37E6">
        <w:rPr>
          <w:rFonts w:ascii="Garamond" w:hAnsi="Garamond" w:cs="Arial"/>
          <w:b/>
          <w:sz w:val="28"/>
          <w:szCs w:val="28"/>
          <w:u w:val="single"/>
          <w:lang w:val="es-AR"/>
        </w:rPr>
        <w:t xml:space="preserve">. </w:t>
      </w:r>
      <w:r w:rsidRPr="007E5AEF">
        <w:rPr>
          <w:rFonts w:ascii="Garamond" w:hAnsi="Garamond" w:cs="Arial"/>
          <w:sz w:val="28"/>
          <w:szCs w:val="28"/>
          <w:lang w:val="es-AR"/>
        </w:rPr>
        <w:t>Evasión agravada. Inconstitucionalidad del mínimo de pena. Suspensión del juicio a prueba. Reparación y razonabilidad. Rol de querellante, importancia. Omisión de presentarse a la audiencia</w:t>
      </w:r>
    </w:p>
    <w:p w:rsidR="007E5AEF" w:rsidRPr="007E5AEF" w:rsidRDefault="007E5AEF" w:rsidP="007E5AEF">
      <w:pPr>
        <w:pStyle w:val="Prrafodelista"/>
        <w:jc w:val="both"/>
        <w:rPr>
          <w:rFonts w:ascii="Garamond" w:hAnsi="Garamond" w:cs="Arial"/>
          <w:sz w:val="28"/>
          <w:szCs w:val="28"/>
          <w:lang w:val="es-AR"/>
        </w:rPr>
      </w:pPr>
    </w:p>
    <w:p w:rsidR="007E5AEF" w:rsidRPr="007E5AEF" w:rsidRDefault="007E5AEF" w:rsidP="007E5AEF">
      <w:pPr>
        <w:rPr>
          <w:rFonts w:ascii="Garamond" w:hAnsi="Garamond"/>
          <w:sz w:val="28"/>
          <w:szCs w:val="28"/>
          <w:lang w:val="es-AR"/>
        </w:rPr>
      </w:pPr>
    </w:p>
    <w:p w:rsidR="00C75D62" w:rsidRPr="007E5AEF" w:rsidRDefault="00C75D62" w:rsidP="00C75D62">
      <w:pPr>
        <w:pStyle w:val="Default"/>
        <w:numPr>
          <w:ilvl w:val="0"/>
          <w:numId w:val="2"/>
        </w:numPr>
        <w:jc w:val="both"/>
        <w:rPr>
          <w:rFonts w:ascii="Garamond" w:hAnsi="Garamond"/>
          <w:sz w:val="28"/>
          <w:szCs w:val="28"/>
          <w:u w:val="single"/>
          <w:lang w:val="es-AR"/>
        </w:rPr>
      </w:pPr>
      <w:bookmarkStart w:id="0" w:name="_GoBack"/>
      <w:bookmarkEnd w:id="0"/>
    </w:p>
    <w:sectPr w:rsidR="00C75D62" w:rsidRPr="007E5AE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Liberation Serif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9681A"/>
    <w:multiLevelType w:val="hybridMultilevel"/>
    <w:tmpl w:val="255C8F36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1531C"/>
    <w:multiLevelType w:val="hybridMultilevel"/>
    <w:tmpl w:val="F990A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C06F66"/>
    <w:multiLevelType w:val="hybridMultilevel"/>
    <w:tmpl w:val="D3AE4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C0A"/>
    <w:rsid w:val="0003212A"/>
    <w:rsid w:val="000C7656"/>
    <w:rsid w:val="0012005B"/>
    <w:rsid w:val="004D10F7"/>
    <w:rsid w:val="00501C0A"/>
    <w:rsid w:val="005438DD"/>
    <w:rsid w:val="00550871"/>
    <w:rsid w:val="005C37E6"/>
    <w:rsid w:val="007B72EF"/>
    <w:rsid w:val="007E5AEF"/>
    <w:rsid w:val="00AC32F4"/>
    <w:rsid w:val="00B42367"/>
    <w:rsid w:val="00C75D62"/>
    <w:rsid w:val="00CC18E8"/>
    <w:rsid w:val="00D028AD"/>
    <w:rsid w:val="00D570CB"/>
    <w:rsid w:val="00DD7B8B"/>
    <w:rsid w:val="00FD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59C28"/>
  <w15:chartTrackingRefBased/>
  <w15:docId w15:val="{E56C9988-E3F5-46D8-8310-94C3D9936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D56D0"/>
    <w:pPr>
      <w:ind w:left="720"/>
      <w:contextualSpacing/>
    </w:pPr>
  </w:style>
  <w:style w:type="paragraph" w:customStyle="1" w:styleId="Default">
    <w:name w:val="Default"/>
    <w:rsid w:val="00FD56D0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</dc:creator>
  <cp:keywords/>
  <dc:description/>
  <cp:lastModifiedBy>Esteban</cp:lastModifiedBy>
  <cp:revision>16</cp:revision>
  <dcterms:created xsi:type="dcterms:W3CDTF">2022-11-22T13:38:00Z</dcterms:created>
  <dcterms:modified xsi:type="dcterms:W3CDTF">2022-11-25T11:03:00Z</dcterms:modified>
</cp:coreProperties>
</file>